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c39bfb6784657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54735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DJEČJI VRTIĆ METEORKO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222.359,11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222.359,11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POSLOVANJA (šifre 6-Z005,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X001, 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Dječji vrtić Meteorko započeo je sa radom  početkom godine. </w:t>
      </w:r>
    </w:p>
    <w:p>
      <w:r>
        <w:t xml:space="preserve">Ukupni rashodi iznose 222.359,11 eura, a isti se odnose na rashode za zaposlene, materijalne rashode te ostale rashode. </w:t>
      </w:r>
    </w:p>
    <w:p>
      <w:r>
        <w:t xml:space="preserve">Ukupni prihodi iznose 222.359,11 eura , a isti se odnose na prihode od subvencija roditelja u iznosu od 34.608,94 eura, prihode iz proračuna drugih jedinica lokalne samouprave čija djeca su polaznici dječjeg vrtića Meteorko u iznosu od 36.214,40 eura, prihod od države za polaznike programa predškole u iznosu od 144,00 eura  te prihode iz proračuna JLS u iznosu od 151.391,77 eura. Dječji vrtić Meteorko posluje preko jedinstvenog računa.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iz inozemstva i od subjekata unutar općeg proračuna (šifre 631+632+633+634+635+636+637+638+639)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36.358,40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Pomoći iz inozemstva i od subjekata unutar općeg proračuna ostvarene su u iznosu od 36.358,40 eura, a iste se odnose na prihode iz proračuna drugih jedinica lokalne samouprave čija djeca su polaznici dječjeg vrtića Meteorko u iznosu od 36.214,40 eura, prihod od države za polaznike programa predškole u iznosu od 144,00 eura.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upravnih i administrativnih pristojbi, pristojbi po posebnim propisima i naknada (šifre 651+652+653+654)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34.608,94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Prihodi od upravnih i administrativnih pristojbi, pristojbi po posebnim propisima i naknada ostvareni su u iznosu od 34.608,94 eura, a isti se odnose na prihode od roditelja.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iz nadležnog proračuna i od HZZO-a na temelju ugovornih obveza (šifre 671+673)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151.391,77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Prihodi iz nadležnog proračuna i od HZZO-a na temelju ugovornih obveza ostvareni su u iznosu od 151.391,77 eura, a isti se odnose na prihode iz proračuna JLS za redovno financiranje.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222.359,11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Rashodi poslovanja ostvareni su u iznosu od 222.359,11 eura, a isti se odnose na rashode za zaposlene, materijalne rashode te ostale rashode.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181.637,71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Rashodi za zaposlene ostvareni su u iznosu od 181.637,71 euro, a isti se odnose na rashode za plaće te ostale rashode za zaposlene (regres, uskrsnica).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Materijalni rashodi (šifre 321+322+323+324+325+329)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40.714,76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Materijalni rashodi ostvareni su u iznosu od 40.714,76 eura, a isti se odnose na naknade troškova zaposlenima (prijevoz, stručno usavršavanje), rashode za materijal i energiju, rashode za usluge, komunalne usluge, intelektualne usluge, naknade za rad upravnog vijeća, premija osiguranja zaposlenih, javnobilježničke pristojbe.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Financijski rashodi (šifre 341+342+343)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Financijski rashodi ostvareni su u iznosu od 6,64 eura, a odnose se na rashode FINE.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Ukupni rashodi poslovanja (šifre 3-Z003+Z004)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222.359,11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Ukupni rashodi poslovanja iznose 222.359,11 eura, a isti se odnose na rashode za zaposlene, materijalne rashode te ostale rashode.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UKUPNI PRIHODI (šifre 6+7)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X067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222.359,11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Ukupni prihodi iznose 222.359,11 eura , a isti se odnose na prihode od subvencija roditelja u iznosu od 34.608,94 eura, prihode iz proračuna drugih jedinica lokalne samouprave čija djeca su polaznici dječjeg vrtića Meteorko u iznosu od 36.214,40 eura, prihod od države za polaznike programa predškole u iznosu od 144,00 eura  te prihode iz proračuna JLS u iznosu od 151.391,77 eura , te vrtić posluje preko jedinstvenog računa.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UKUPNI RASHODI (šifre Z005+4)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222.359,11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Ukupni rashodi iznose 222.359,11 eura, a isti se odnose na rashode za zaposlene, materijalne rashode te ostale rashode.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UKUPNI PRIHODI I PRIMICI (šifre X067+8)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X678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222.359,11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Ukupni prihodi i primici iznose 222.359,11 eura , a isti se odnose na prihode od subvencija roditelja u iznosu od 34.608,94 eura, prihode iz proračuna drugih jedinica lokalne samouprave čija djeca su polaznici dječjeg vrtića Meteorko u iznosu od 36.214,40 eura, prihod od države za polaznike programa predškole u iznosu od 144,00 eura  te prihode iz proračuna JLS u iznosu od 151.391,77 eura , te vrtić posluje preko jedinstvenog računa.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UKUPNI RASHODI I IZDACI (šifre Y034+5)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Y345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222.359,11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Ukupni rashodi i izdaci iznose 222.359,11 eura, a isti se odnose na rashode za zaposlene, materijalne rashode te ostale rashode.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Prosječan broj zaposlenih kod korisnika na osnovi stanja na početku i na kraju izvještajnog razdoblja (cijeli broj)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Prosječan broj zaposlenih kod korisnika na osnovi stanja na početku i na kraju izvještajnog razdoblja je 10.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Prosječan broj zaposlenih kod korisnika na osnovi sati rada (cijeli broj)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Prosječan broj zaposlenih kod korisnika na osnovi sati rada je 10.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80b0a08303b426b" /></Relationships>
</file>